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8C2C21">
      <w:pPr>
        <w:autoSpaceDE w:val="0"/>
        <w:autoSpaceDN w:val="0"/>
        <w:spacing w:line="560" w:lineRule="exact"/>
        <w:jc w:val="center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青岛市体育局</w:t>
      </w:r>
      <w:r>
        <w:rPr>
          <w:rFonts w:hint="eastAsia" w:ascii="方正小标宋_GBK" w:hAnsi="仿宋_GB2312" w:eastAsia="方正小标宋_GBK" w:cs="仿宋_GB2312"/>
          <w:sz w:val="44"/>
          <w:szCs w:val="44"/>
        </w:rPr>
        <w:t>202</w:t>
      </w:r>
      <w:r>
        <w:rPr>
          <w:rFonts w:hint="eastAsia" w:ascii="方正小标宋_GBK" w:hAnsi="仿宋_GB2312" w:eastAsia="方正小标宋_GBK" w:cs="仿宋_GB2312"/>
          <w:sz w:val="44"/>
          <w:szCs w:val="44"/>
          <w:lang w:val="en-US" w:eastAsia="zh-CN"/>
        </w:rPr>
        <w:t>4</w:t>
      </w:r>
      <w:r>
        <w:rPr>
          <w:rFonts w:hint="eastAsia" w:ascii="方正小标宋_GBK" w:hAnsi="仿宋_GB2312" w:eastAsia="方正小标宋_GBK" w:cs="仿宋_GB2312"/>
          <w:sz w:val="44"/>
          <w:szCs w:val="44"/>
        </w:rPr>
        <w:t>年度“双随机、一公开”抽查计划</w:t>
      </w:r>
    </w:p>
    <w:tbl>
      <w:tblPr>
        <w:tblStyle w:val="11"/>
        <w:tblpPr w:leftFromText="180" w:rightFromText="180" w:vertAnchor="text" w:horzAnchor="margin" w:tblpY="764"/>
        <w:tblOverlap w:val="never"/>
        <w:tblW w:w="135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4"/>
        <w:gridCol w:w="1215"/>
        <w:gridCol w:w="3134"/>
        <w:gridCol w:w="1319"/>
        <w:gridCol w:w="1740"/>
        <w:gridCol w:w="1170"/>
        <w:gridCol w:w="1291"/>
        <w:gridCol w:w="1140"/>
        <w:gridCol w:w="1322"/>
      </w:tblGrid>
      <w:tr w14:paraId="00FD5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6C674">
            <w:pPr>
              <w:spacing w:line="32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权责清单事项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C1C4B8">
            <w:pPr>
              <w:spacing w:line="320" w:lineRule="exact"/>
              <w:jc w:val="center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抽查事项</w:t>
            </w:r>
          </w:p>
        </w:tc>
        <w:tc>
          <w:tcPr>
            <w:tcW w:w="3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75E010">
            <w:pPr>
              <w:spacing w:line="320" w:lineRule="exact"/>
              <w:jc w:val="center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抽查内容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D6C862">
            <w:pPr>
              <w:spacing w:line="320" w:lineRule="exact"/>
              <w:jc w:val="center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抽查对象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569DF">
            <w:pPr>
              <w:spacing w:line="32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抽查比例及频次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E66667">
            <w:pPr>
              <w:spacing w:line="320" w:lineRule="exact"/>
              <w:jc w:val="center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事项类别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D411C6">
            <w:pPr>
              <w:spacing w:line="320" w:lineRule="exact"/>
              <w:jc w:val="center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抽查方式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9495FE">
            <w:pPr>
              <w:spacing w:line="320" w:lineRule="exact"/>
              <w:jc w:val="center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抽查时间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76B38A">
            <w:pPr>
              <w:spacing w:line="320" w:lineRule="exact"/>
              <w:jc w:val="center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对应的抽查</w:t>
            </w:r>
          </w:p>
          <w:p w14:paraId="27A763A3">
            <w:pPr>
              <w:spacing w:line="320" w:lineRule="exact"/>
              <w:jc w:val="center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事项清单</w:t>
            </w:r>
          </w:p>
        </w:tc>
      </w:tr>
      <w:tr w14:paraId="0BE3C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EB7A0A">
            <w:pPr>
              <w:spacing w:line="320" w:lineRule="exact"/>
              <w:jc w:val="left"/>
              <w:rPr>
                <w:rFonts w:hint="eastAsia" w:ascii="仿宋_GB2312" w:hAnsi="Calibri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对经营高危险性体育项目单位的监督检查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4274EF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对经营高危险性体育项目单位的监督检查</w:t>
            </w:r>
          </w:p>
        </w:tc>
        <w:tc>
          <w:tcPr>
            <w:tcW w:w="3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EFA488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1.许可证办理情况；2.安全管理制度、专业人员证件公示情况；3.安全说明、警示情况；4.体育设施、设备、器材维护保养和定期检测情况；5.社会体育指导人员和救助人员证件类型、数量、佩戴等情况；6.其他内容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86A313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经营高危险性体育项目的企业、个体工商户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3DE7F7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全年抽查不低于5%，每年抽查不低于1次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D7ED92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一般检查事项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F8F25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现场检查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77DF33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202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Cs w:val="21"/>
              </w:rPr>
              <w:t>年1月至12月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F6F7AC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见附件2</w:t>
            </w:r>
          </w:p>
        </w:tc>
      </w:tr>
      <w:tr w14:paraId="0BED5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948B5A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对体育类社会团体监督管理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C518B8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业务活动开展情况检查 </w:t>
            </w:r>
          </w:p>
        </w:tc>
        <w:tc>
          <w:tcPr>
            <w:tcW w:w="3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60563C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组织开展的赛事活动情况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B25055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各级体育类协会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37922C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全年抽查比例为5%，每年抽查1次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DDD9DE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一般检查事项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C8EDDF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现场检查与书面检查相结合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C5D4A9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202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Cs w:val="21"/>
              </w:rPr>
              <w:t>年1月至12月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E6FE5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见附件2</w:t>
            </w:r>
          </w:p>
        </w:tc>
      </w:tr>
      <w:tr w14:paraId="13ABC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1CC918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对体育类民办非企业单位监督管理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EF6555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年报信息和活动开展情况检查</w:t>
            </w:r>
          </w:p>
        </w:tc>
        <w:tc>
          <w:tcPr>
            <w:tcW w:w="3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39300C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年度报告公示信息的检查、活动开展情况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6976B6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各级体育类民办非企业单位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B279A5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全年抽查比例为10%，每年抽查1次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1D8DF4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一般检查事项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D8A9D3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现场检查与书面检查相结合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2A6BBC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202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Cs w:val="21"/>
              </w:rPr>
              <w:t>年1月至12月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341AD6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见附件2</w:t>
            </w:r>
          </w:p>
        </w:tc>
      </w:tr>
      <w:tr w14:paraId="76183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569202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对体育类基金会监督管理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1E671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公示信息和业务活动检查</w:t>
            </w:r>
          </w:p>
        </w:tc>
        <w:tc>
          <w:tcPr>
            <w:tcW w:w="3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CAD68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年度报告公示信息和活动开展情况的检查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167C3B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体育类基金会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689497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全年抽查比例为5%，每年抽查1次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C1FE8C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一般检查事项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69DC6B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现场检查与书面检查相结合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EFC32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202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Cs w:val="21"/>
              </w:rPr>
              <w:t>年1月至12月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121C0C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见附件2</w:t>
            </w:r>
          </w:p>
        </w:tc>
      </w:tr>
      <w:tr w14:paraId="19400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5" w:hRule="atLeast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D9D2E8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对健身气功活动的监督管理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5AF8A1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年报信息检查</w:t>
            </w:r>
          </w:p>
        </w:tc>
        <w:tc>
          <w:tcPr>
            <w:tcW w:w="3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D65B8F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1.查看赛事活动通知、秩序册、成绩册等档案资料是否齐全；2. 查看体育部门对健身气功及赛事活动的监管情况；3. 查看赛事活动应急预案是否健全完善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8EFA84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各区、市体育行政部门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E4A419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全年抽查比例为5%，抽查频次根据监管需要确定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12D317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一般检查事项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BE8647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现场检查、书面检查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6FF642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202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Cs w:val="21"/>
              </w:rPr>
              <w:t>年1月至12月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5A3061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见附件2</w:t>
            </w:r>
          </w:p>
        </w:tc>
      </w:tr>
      <w:tr w14:paraId="0F6EC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atLeast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3259BA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</w:p>
          <w:p w14:paraId="4C684034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对公共文化体育设施的监管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EC2D2A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对公共文化体育设施的监督管理</w:t>
            </w:r>
          </w:p>
        </w:tc>
        <w:tc>
          <w:tcPr>
            <w:tcW w:w="3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13ED77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1.是否开展与公共体育文化设施功能、用途不相适应服务活动；2.是否违反规定出租公共体育文化设施；3.是否有违法所得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932AF2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公共体育设施管理单位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7B79AD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全年抽查比例不低于40%，每年不少于2次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F0F473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一般检查事项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14C878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填报资料、文件审阅、现场检查、交流座谈等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199CF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202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Cs w:val="21"/>
              </w:rPr>
              <w:t>年1月至12月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9A374B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见附件2</w:t>
            </w:r>
          </w:p>
        </w:tc>
      </w:tr>
      <w:tr w14:paraId="50A08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69F2E5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对体育竞赛的监管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15CA18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竞赛组织检查</w:t>
            </w:r>
          </w:p>
        </w:tc>
        <w:tc>
          <w:tcPr>
            <w:tcW w:w="3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1B945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各级锦标赛、冠军赛、中小学生联赛竞赛组织有关工作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C38821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各赛事主办方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91AEC7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全年抽查比例为5%，抽查频次根据监管需要确定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E60D00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一般检查事项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D77011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现场检查、专业机构核查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C0986D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202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Cs w:val="21"/>
              </w:rPr>
              <w:t>年1月至12月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F7E1F4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见附件2</w:t>
            </w:r>
          </w:p>
        </w:tc>
      </w:tr>
      <w:tr w14:paraId="6C776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688E81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</w:p>
          <w:p w14:paraId="02E91DA3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对健身气功站点的监督管理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7DBD46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</w:p>
          <w:p w14:paraId="66C2FD6A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对健身气功站点的监督管理</w:t>
            </w:r>
          </w:p>
        </w:tc>
        <w:tc>
          <w:tcPr>
            <w:tcW w:w="3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AB4C1E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健身气功站点的情况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D811A2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健身气功站点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5CE375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根据风险等级确定抽查比例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72FBE1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一般检查事项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336A26">
            <w:pPr>
              <w:spacing w:line="32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现场检查、书面检查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1165D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202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Cs w:val="21"/>
              </w:rPr>
              <w:t>年1月至12月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EDBAE3">
            <w:pPr>
              <w:spacing w:line="320" w:lineRule="exact"/>
              <w:jc w:val="left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见附件2</w:t>
            </w:r>
          </w:p>
        </w:tc>
      </w:tr>
    </w:tbl>
    <w:p w14:paraId="6007BCC5">
      <w:pPr>
        <w:pStyle w:val="2"/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587" w:right="2098" w:bottom="1474" w:left="1985" w:header="851" w:footer="1587" w:gutter="0"/>
      <w:cols w:space="720" w:num="1"/>
      <w:docGrid w:type="linesAndChars" w:linePitch="5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DD6FE2">
    <w:pPr>
      <w:pStyle w:val="6"/>
    </w:pPr>
    <w:r>
      <w:pict>
        <v:shape id="文本框 4" o:spid="_x0000_s1030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0A862825">
                <w:pPr>
                  <w:pStyle w:val="6"/>
                  <w:rPr>
                    <w:rFonts w:hint="eastAsia"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3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49D036">
    <w:pPr>
      <w:pStyle w:val="6"/>
    </w:pPr>
    <w:r>
      <w:pict>
        <v:shape id="文本框 6" o:spid="_x0000_s1031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1DA6CCBE">
                <w:pPr>
                  <w:pStyle w:val="6"/>
                  <w:rPr>
                    <w:rFonts w:hint="eastAsia"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2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DDE0F1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025FAD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ZlMjc2Y2Y0YWUzNGE2M2U4MGIxZmYyNTdhMTdhOTgifQ=="/>
  </w:docVars>
  <w:rsids>
    <w:rsidRoot w:val="00950ED0"/>
    <w:rsid w:val="00070986"/>
    <w:rsid w:val="001359A8"/>
    <w:rsid w:val="001419BE"/>
    <w:rsid w:val="00172162"/>
    <w:rsid w:val="001C2210"/>
    <w:rsid w:val="0020107C"/>
    <w:rsid w:val="002139F4"/>
    <w:rsid w:val="002153A3"/>
    <w:rsid w:val="0024075D"/>
    <w:rsid w:val="00251E68"/>
    <w:rsid w:val="00270C6B"/>
    <w:rsid w:val="002916F3"/>
    <w:rsid w:val="002A1EF1"/>
    <w:rsid w:val="002D418A"/>
    <w:rsid w:val="003035FE"/>
    <w:rsid w:val="00305AC1"/>
    <w:rsid w:val="003218D5"/>
    <w:rsid w:val="00430D70"/>
    <w:rsid w:val="004565E0"/>
    <w:rsid w:val="00481EC3"/>
    <w:rsid w:val="00491E59"/>
    <w:rsid w:val="004D3CB0"/>
    <w:rsid w:val="004D6B6D"/>
    <w:rsid w:val="00537E6A"/>
    <w:rsid w:val="00546519"/>
    <w:rsid w:val="005C7E33"/>
    <w:rsid w:val="0060078E"/>
    <w:rsid w:val="006247FF"/>
    <w:rsid w:val="00640657"/>
    <w:rsid w:val="006957F2"/>
    <w:rsid w:val="006C317F"/>
    <w:rsid w:val="006E051E"/>
    <w:rsid w:val="006E7063"/>
    <w:rsid w:val="00714E96"/>
    <w:rsid w:val="007460A1"/>
    <w:rsid w:val="0077721F"/>
    <w:rsid w:val="007A262B"/>
    <w:rsid w:val="007E64C6"/>
    <w:rsid w:val="008245F5"/>
    <w:rsid w:val="00861C53"/>
    <w:rsid w:val="00882EFC"/>
    <w:rsid w:val="00887A07"/>
    <w:rsid w:val="00943FED"/>
    <w:rsid w:val="00950ED0"/>
    <w:rsid w:val="00952504"/>
    <w:rsid w:val="0096530C"/>
    <w:rsid w:val="009D69F4"/>
    <w:rsid w:val="009E4319"/>
    <w:rsid w:val="00A04613"/>
    <w:rsid w:val="00A06F00"/>
    <w:rsid w:val="00A1054F"/>
    <w:rsid w:val="00A27D0D"/>
    <w:rsid w:val="00A6310F"/>
    <w:rsid w:val="00AA1BB8"/>
    <w:rsid w:val="00AD64D2"/>
    <w:rsid w:val="00B61524"/>
    <w:rsid w:val="00BF380C"/>
    <w:rsid w:val="00C677BB"/>
    <w:rsid w:val="00C86EAE"/>
    <w:rsid w:val="00CD5F5D"/>
    <w:rsid w:val="00D0296B"/>
    <w:rsid w:val="00D1286A"/>
    <w:rsid w:val="00D20DC9"/>
    <w:rsid w:val="00D40A91"/>
    <w:rsid w:val="00D53413"/>
    <w:rsid w:val="00DA6B94"/>
    <w:rsid w:val="00DD269C"/>
    <w:rsid w:val="00E244C8"/>
    <w:rsid w:val="00E811B9"/>
    <w:rsid w:val="00EA1621"/>
    <w:rsid w:val="00F66398"/>
    <w:rsid w:val="00F66811"/>
    <w:rsid w:val="00FC0537"/>
    <w:rsid w:val="05987CB2"/>
    <w:rsid w:val="090E75B7"/>
    <w:rsid w:val="0CAC59DD"/>
    <w:rsid w:val="0E040813"/>
    <w:rsid w:val="0F3F1AA3"/>
    <w:rsid w:val="11793988"/>
    <w:rsid w:val="11E44B84"/>
    <w:rsid w:val="1A9B22BC"/>
    <w:rsid w:val="1ACB6A99"/>
    <w:rsid w:val="20FB77F4"/>
    <w:rsid w:val="22A11EF0"/>
    <w:rsid w:val="22F813F4"/>
    <w:rsid w:val="24587FAF"/>
    <w:rsid w:val="247B3126"/>
    <w:rsid w:val="2678037B"/>
    <w:rsid w:val="2C343055"/>
    <w:rsid w:val="2C994A91"/>
    <w:rsid w:val="35A3082C"/>
    <w:rsid w:val="37471527"/>
    <w:rsid w:val="382D62CC"/>
    <w:rsid w:val="38A7558E"/>
    <w:rsid w:val="3BD656A2"/>
    <w:rsid w:val="3CB61ABD"/>
    <w:rsid w:val="45381D64"/>
    <w:rsid w:val="4A4C4A99"/>
    <w:rsid w:val="4D8555E7"/>
    <w:rsid w:val="4E2A47D7"/>
    <w:rsid w:val="5959656E"/>
    <w:rsid w:val="5F325367"/>
    <w:rsid w:val="6C8506D4"/>
    <w:rsid w:val="6FE4739E"/>
    <w:rsid w:val="6FE53A88"/>
    <w:rsid w:val="74DC4AB8"/>
    <w:rsid w:val="770976EA"/>
    <w:rsid w:val="77FE30FA"/>
    <w:rsid w:val="7DF256F0"/>
    <w:rsid w:val="7EE50A3C"/>
    <w:rsid w:val="D9F15564"/>
    <w:rsid w:val="EDF61B21"/>
    <w:rsid w:val="FDC602F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内容 + 首行缩进:  2 字符1"/>
    <w:qFormat/>
    <w:uiPriority w:val="0"/>
    <w:pPr>
      <w:widowControl w:val="0"/>
      <w:spacing w:line="304" w:lineRule="exact"/>
      <w:jc w:val="both"/>
    </w:pPr>
    <w:rPr>
      <w:rFonts w:ascii="Arial" w:hAnsi="Arial" w:eastAsia="宋体" w:cs="Times New Roman"/>
      <w:color w:val="000000"/>
      <w:kern w:val="2"/>
      <w:sz w:val="21"/>
      <w:lang w:val="en-US" w:eastAsia="zh-CN" w:bidi="ar-SA"/>
    </w:rPr>
  </w:style>
  <w:style w:type="paragraph" w:styleId="3">
    <w:name w:val="Normal Indent"/>
    <w:basedOn w:val="1"/>
    <w:unhideWhenUsed/>
    <w:qFormat/>
    <w:uiPriority w:val="99"/>
    <w:pPr>
      <w:ind w:firstLine="420" w:firstLineChars="200"/>
    </w:pPr>
    <w:rPr>
      <w:szCs w:val="22"/>
    </w:rPr>
  </w:style>
  <w:style w:type="paragraph" w:styleId="4">
    <w:name w:val="Body Text Indent"/>
    <w:basedOn w:val="1"/>
    <w:next w:val="5"/>
    <w:qFormat/>
    <w:uiPriority w:val="0"/>
    <w:pPr>
      <w:ind w:firstLine="630"/>
    </w:pPr>
    <w:rPr>
      <w:rFonts w:eastAsia="仿宋_GB2312"/>
    </w:rPr>
  </w:style>
  <w:style w:type="paragraph" w:styleId="5">
    <w:name w:val="header"/>
    <w:basedOn w:val="1"/>
    <w:next w:val="6"/>
    <w:link w:val="20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Date"/>
    <w:basedOn w:val="1"/>
    <w:next w:val="1"/>
    <w:link w:val="14"/>
    <w:qFormat/>
    <w:uiPriority w:val="0"/>
    <w:pPr>
      <w:ind w:left="100" w:leftChars="2500"/>
    </w:pPr>
  </w:style>
  <w:style w:type="paragraph" w:styleId="8">
    <w:name w:val="Balloon Text"/>
    <w:basedOn w:val="1"/>
    <w:link w:val="16"/>
    <w:qFormat/>
    <w:uiPriority w:val="0"/>
    <w:rPr>
      <w:sz w:val="18"/>
      <w:szCs w:val="18"/>
    </w:rPr>
  </w:style>
  <w:style w:type="paragraph" w:styleId="9">
    <w:name w:val="Normal (Web)"/>
    <w:basedOn w:val="1"/>
    <w:qFormat/>
    <w:uiPriority w:val="0"/>
    <w:rPr>
      <w:rFonts w:ascii="Calibri" w:hAnsi="Calibri" w:eastAsia="宋体" w:cs="Times New Roman"/>
      <w:sz w:val="24"/>
    </w:rPr>
  </w:style>
  <w:style w:type="paragraph" w:styleId="10">
    <w:name w:val="Body Text First Indent 2"/>
    <w:basedOn w:val="4"/>
    <w:qFormat/>
    <w:uiPriority w:val="0"/>
    <w:pPr>
      <w:spacing w:after="120" w:line="240" w:lineRule="auto"/>
      <w:ind w:left="420" w:leftChars="200" w:firstLine="420"/>
    </w:pPr>
  </w:style>
  <w:style w:type="table" w:styleId="12">
    <w:name w:val="Table Grid"/>
    <w:basedOn w:val="11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日期 Char"/>
    <w:basedOn w:val="13"/>
    <w:link w:val="7"/>
    <w:qFormat/>
    <w:uiPriority w:val="0"/>
    <w:rPr>
      <w:kern w:val="2"/>
      <w:sz w:val="21"/>
      <w:szCs w:val="24"/>
    </w:rPr>
  </w:style>
  <w:style w:type="character" w:customStyle="1" w:styleId="15">
    <w:name w:val="页脚 Char"/>
    <w:basedOn w:val="13"/>
    <w:link w:val="6"/>
    <w:qFormat/>
    <w:uiPriority w:val="99"/>
    <w:rPr>
      <w:kern w:val="2"/>
      <w:sz w:val="18"/>
      <w:szCs w:val="18"/>
    </w:rPr>
  </w:style>
  <w:style w:type="character" w:customStyle="1" w:styleId="16">
    <w:name w:val="批注框文本 Char"/>
    <w:basedOn w:val="13"/>
    <w:link w:val="8"/>
    <w:qFormat/>
    <w:uiPriority w:val="0"/>
    <w:rPr>
      <w:kern w:val="2"/>
      <w:sz w:val="18"/>
      <w:szCs w:val="18"/>
    </w:rPr>
  </w:style>
  <w:style w:type="character" w:customStyle="1" w:styleId="17">
    <w:name w:val="fontstyle21"/>
    <w:qFormat/>
    <w:uiPriority w:val="0"/>
    <w:rPr>
      <w:rFonts w:ascii="方正小标宋_GBK" w:hAnsi="方正小标宋_GBK" w:eastAsia="方正小标宋_GBK" w:cs="方正小标宋_GBK"/>
      <w:color w:val="FF0000"/>
      <w:sz w:val="110"/>
      <w:szCs w:val="110"/>
    </w:rPr>
  </w:style>
  <w:style w:type="paragraph" w:customStyle="1" w:styleId="18">
    <w:name w:val="列出段落1"/>
    <w:qFormat/>
    <w:uiPriority w:val="0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9">
    <w:name w:val="111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20">
    <w:name w:val="页眉 Char"/>
    <w:link w:val="5"/>
    <w:qFormat/>
    <w:uiPriority w:val="0"/>
    <w:rPr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30"/>
    <customShpInfo spid="_x0000_s103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2249</Words>
  <Characters>2385</Characters>
  <Lines>3</Lines>
  <Paragraphs>6</Paragraphs>
  <TotalTime>4</TotalTime>
  <ScaleCrop>false</ScaleCrop>
  <LinksUpToDate>false</LinksUpToDate>
  <CharactersWithSpaces>2436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2023-04-08T06:07:00Z</dcterms:created>
  <dc:creator>dell</dc:creator>
  <cp:lastModifiedBy>王震</cp:lastModifiedBy>
  <cp:lastPrinted>2023-02-01T03:27:00Z</cp:lastPrinted>
  <dcterms:modified xsi:type="dcterms:W3CDTF">2024-11-18T01:39:45Z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7B2B6423D2294267A78A50411683CA14</vt:lpwstr>
  </property>
</Properties>
</file>