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628402">
      <w:pPr>
        <w:keepNext w:val="0"/>
        <w:keepLines w:val="0"/>
        <w:pageBreakBefore w:val="0"/>
        <w:widowControl w:val="0"/>
        <w:kinsoku/>
        <w:wordWrap/>
        <w:overflowPunct/>
        <w:topLinePunct w:val="0"/>
        <w:autoSpaceDE/>
        <w:autoSpaceDN/>
        <w:bidi w:val="0"/>
        <w:adjustRightInd w:val="0"/>
        <w:snapToGrid/>
        <w:spacing w:line="560" w:lineRule="exact"/>
        <w:ind w:firstLine="0" w:firstLineChars="0"/>
        <w:jc w:val="center"/>
        <w:textAlignment w:val="auto"/>
        <w:rPr>
          <w:rFonts w:hint="eastAsia" w:ascii="方正小标宋_GBK" w:hAnsi="方正小标宋_GBK" w:eastAsia="方正小标宋_GBK" w:cs="方正小标宋_GBK"/>
          <w:sz w:val="44"/>
          <w:szCs w:val="44"/>
          <w:lang w:val="en-US" w:eastAsia="zh-CN"/>
        </w:rPr>
      </w:pPr>
      <w:bookmarkStart w:id="0" w:name="_GoBack"/>
      <w:r>
        <w:rPr>
          <w:rFonts w:hint="eastAsia" w:ascii="方正小标宋_GBK" w:hAnsi="方正小标宋_GBK" w:eastAsia="方正小标宋_GBK" w:cs="方正小标宋_GBK"/>
          <w:sz w:val="44"/>
          <w:szCs w:val="44"/>
          <w:lang w:val="en-US" w:eastAsia="zh-CN"/>
        </w:rPr>
        <w:t>青岛仲裁办2023-2024年建议提案</w:t>
      </w:r>
    </w:p>
    <w:p w14:paraId="26114C65">
      <w:pPr>
        <w:keepNext w:val="0"/>
        <w:keepLines w:val="0"/>
        <w:pageBreakBefore w:val="0"/>
        <w:widowControl w:val="0"/>
        <w:kinsoku/>
        <w:wordWrap/>
        <w:overflowPunct/>
        <w:topLinePunct w:val="0"/>
        <w:autoSpaceDE/>
        <w:autoSpaceDN/>
        <w:bidi w:val="0"/>
        <w:adjustRightInd w:val="0"/>
        <w:snapToGrid/>
        <w:spacing w:line="560" w:lineRule="exact"/>
        <w:ind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办理情况工作总结</w:t>
      </w:r>
    </w:p>
    <w:bookmarkEnd w:id="0"/>
    <w:p w14:paraId="59500DCA">
      <w:pPr>
        <w:keepNext w:val="0"/>
        <w:keepLines w:val="0"/>
        <w:pageBreakBefore w:val="0"/>
        <w:widowControl w:val="0"/>
        <w:kinsoku/>
        <w:wordWrap/>
        <w:overflowPunct/>
        <w:topLinePunct w:val="0"/>
        <w:autoSpaceDE/>
        <w:autoSpaceDN/>
        <w:bidi w:val="0"/>
        <w:adjustRightInd w:val="0"/>
        <w:snapToGrid/>
        <w:spacing w:line="554" w:lineRule="exact"/>
        <w:ind w:firstLine="0" w:firstLineChars="0"/>
        <w:jc w:val="center"/>
        <w:textAlignment w:val="auto"/>
        <w:rPr>
          <w:rFonts w:hint="default" w:ascii="文星标宋" w:hAnsi="文星标宋" w:eastAsia="文星标宋" w:cs="文星标宋"/>
          <w:sz w:val="44"/>
          <w:szCs w:val="44"/>
          <w:lang w:val="en-US" w:eastAsia="zh-CN"/>
        </w:rPr>
      </w:pPr>
    </w:p>
    <w:p w14:paraId="20EEB2E5">
      <w:pPr>
        <w:keepNext w:val="0"/>
        <w:keepLines w:val="0"/>
        <w:pageBreakBefore w:val="0"/>
        <w:widowControl w:val="0"/>
        <w:kinsoku/>
        <w:wordWrap/>
        <w:overflowPunct/>
        <w:topLinePunct w:val="0"/>
        <w:autoSpaceDE/>
        <w:autoSpaceDN/>
        <w:bidi w:val="0"/>
        <w:adjustRightInd w:val="0"/>
        <w:snapToGrid/>
        <w:spacing w:line="554" w:lineRule="exact"/>
        <w:ind w:firstLine="640" w:firstLineChars="200"/>
        <w:textAlignment w:val="auto"/>
        <w:rPr>
          <w:rFonts w:hint="default" w:hAnsi="Calibri" w:cs="楷体_GB2312"/>
          <w:sz w:val="32"/>
          <w:szCs w:val="32"/>
          <w:lang w:val="en-US" w:eastAsia="zh-CN"/>
        </w:rPr>
      </w:pPr>
      <w:r>
        <w:rPr>
          <w:rFonts w:hint="eastAsia" w:ascii="仿宋_GB2312" w:hAnsi="Calibri" w:eastAsia="仿宋_GB2312" w:cs="楷体_GB2312"/>
          <w:sz w:val="32"/>
          <w:szCs w:val="32"/>
          <w:lang w:val="en-US" w:eastAsia="zh-CN"/>
        </w:rPr>
        <w:t>青岛仲裁办严格按照</w:t>
      </w:r>
      <w:r>
        <w:rPr>
          <w:rFonts w:hint="eastAsia" w:hAnsi="Calibri" w:cs="楷体_GB2312"/>
          <w:sz w:val="32"/>
          <w:szCs w:val="32"/>
          <w:lang w:val="en-US" w:eastAsia="zh-CN"/>
        </w:rPr>
        <w:t>全市政府系统建议提案办理工作有关</w:t>
      </w:r>
      <w:r>
        <w:rPr>
          <w:rFonts w:hint="eastAsia" w:ascii="仿宋_GB2312" w:hAnsi="Calibri" w:eastAsia="仿宋_GB2312" w:cs="楷体_GB2312"/>
          <w:sz w:val="32"/>
          <w:szCs w:val="32"/>
          <w:lang w:val="en-US" w:eastAsia="zh-CN"/>
        </w:rPr>
        <w:t>要求，高质量做好建议</w:t>
      </w:r>
      <w:r>
        <w:rPr>
          <w:rFonts w:hint="eastAsia" w:hAnsi="Calibri" w:cs="楷体_GB2312"/>
          <w:sz w:val="32"/>
          <w:szCs w:val="32"/>
          <w:lang w:val="en-US" w:eastAsia="zh-CN"/>
        </w:rPr>
        <w:t>提案</w:t>
      </w:r>
      <w:r>
        <w:rPr>
          <w:rFonts w:hint="eastAsia" w:ascii="仿宋_GB2312" w:hAnsi="Calibri" w:eastAsia="仿宋_GB2312" w:cs="楷体_GB2312"/>
          <w:sz w:val="32"/>
          <w:szCs w:val="32"/>
          <w:lang w:val="en-US" w:eastAsia="zh-CN"/>
        </w:rPr>
        <w:t>办理工作，努力实现建议</w:t>
      </w:r>
      <w:r>
        <w:rPr>
          <w:rFonts w:hint="eastAsia" w:hAnsi="Calibri" w:cs="楷体_GB2312"/>
          <w:sz w:val="32"/>
          <w:szCs w:val="32"/>
          <w:lang w:val="en-US" w:eastAsia="zh-CN"/>
        </w:rPr>
        <w:t>提案</w:t>
      </w:r>
      <w:r>
        <w:rPr>
          <w:rFonts w:hint="eastAsia" w:ascii="仿宋_GB2312" w:hAnsi="Calibri" w:eastAsia="仿宋_GB2312" w:cs="楷体_GB2312"/>
          <w:sz w:val="32"/>
          <w:szCs w:val="32"/>
          <w:lang w:val="en-US" w:eastAsia="zh-CN"/>
        </w:rPr>
        <w:t>办理落实率和代表满意率双提升。</w:t>
      </w:r>
      <w:r>
        <w:rPr>
          <w:rFonts w:hint="eastAsia" w:hAnsi="Calibri" w:cs="楷体_GB2312"/>
          <w:sz w:val="32"/>
          <w:szCs w:val="32"/>
          <w:lang w:val="en-US" w:eastAsia="zh-CN"/>
        </w:rPr>
        <w:t>2023-2024年办理人大代表建议8件（主办6件、会办2件），政协提案4件（主办1件、会办3件）。主要涉及涉外仲裁、仲裁信息化建设、仲裁宣传推行等内容。建议提案全部如期办理完毕，代表委员均表示满意。</w:t>
      </w:r>
    </w:p>
    <w:p w14:paraId="6EFBE5F0">
      <w:pPr>
        <w:keepNext w:val="0"/>
        <w:keepLines w:val="0"/>
        <w:pageBreakBefore w:val="0"/>
        <w:widowControl w:val="0"/>
        <w:numPr>
          <w:ilvl w:val="0"/>
          <w:numId w:val="0"/>
        </w:numPr>
        <w:kinsoku/>
        <w:wordWrap/>
        <w:overflowPunct/>
        <w:topLinePunct w:val="0"/>
        <w:autoSpaceDE/>
        <w:autoSpaceDN/>
        <w:bidi w:val="0"/>
        <w:adjustRightInd w:val="0"/>
        <w:snapToGrid/>
        <w:spacing w:line="554" w:lineRule="exact"/>
        <w:ind w:firstLine="640" w:firstLineChars="200"/>
        <w:textAlignment w:val="auto"/>
        <w:rPr>
          <w:rFonts w:hint="default" w:ascii="黑体" w:hAnsi="黑体" w:eastAsia="黑体" w:cs="Times New Roman"/>
          <w:kern w:val="2"/>
          <w:sz w:val="32"/>
          <w:szCs w:val="32"/>
          <w:lang w:val="en-US" w:eastAsia="zh-CN" w:bidi="ar-SA"/>
        </w:rPr>
      </w:pPr>
      <w:r>
        <w:rPr>
          <w:rFonts w:hint="eastAsia" w:ascii="黑体" w:hAnsi="黑体" w:eastAsia="黑体" w:cs="Times New Roman"/>
          <w:kern w:val="2"/>
          <w:sz w:val="32"/>
          <w:szCs w:val="32"/>
          <w:lang w:val="en-US" w:eastAsia="zh-CN" w:bidi="ar-SA"/>
        </w:rPr>
        <w:t>一、主要做法</w:t>
      </w:r>
    </w:p>
    <w:p w14:paraId="06918959">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default" w:ascii="仿宋_GB2312" w:eastAsia="仿宋_GB2312"/>
          <w:lang w:val="en-US" w:eastAsia="zh-CN"/>
        </w:rPr>
      </w:pPr>
      <w:r>
        <w:rPr>
          <w:rFonts w:hint="eastAsia" w:ascii="楷体_GB2312" w:hAnsi="楷体_GB2312" w:eastAsia="楷体_GB2312" w:cs="楷体_GB2312"/>
          <w:lang w:val="en-US" w:eastAsia="zh-CN"/>
        </w:rPr>
        <w:t>（一）提高思想认识，确保责任落实</w:t>
      </w:r>
      <w:r>
        <w:rPr>
          <w:rFonts w:hint="eastAsia" w:ascii="仿宋_GB2312" w:eastAsia="仿宋_GB2312"/>
          <w:lang w:val="en-US" w:eastAsia="zh-CN"/>
        </w:rPr>
        <w:t>。把建议提案办理工作作为一项重要的政治任务，纳入年度重点工作统筹谋划，主要负责同志通过党组会议、主任办公会议部署，对办理工作提出要求；分管负责同志定期调度</w:t>
      </w:r>
      <w:r>
        <w:rPr>
          <w:rFonts w:hint="eastAsia"/>
          <w:lang w:val="en-US" w:eastAsia="zh-CN"/>
        </w:rPr>
        <w:t>办理情况</w:t>
      </w:r>
      <w:r>
        <w:rPr>
          <w:rFonts w:hint="eastAsia" w:ascii="仿宋_GB2312" w:eastAsia="仿宋_GB2312"/>
          <w:lang w:val="en-US" w:eastAsia="zh-CN"/>
        </w:rPr>
        <w:t>，承办处室指定专人办理，建立台账、明确职责、有序衔接，层层抓好落实，形成工作闭环。针对涉及多个办理单位的建议</w:t>
      </w:r>
      <w:r>
        <w:rPr>
          <w:rFonts w:hint="eastAsia"/>
          <w:lang w:val="en-US" w:eastAsia="zh-CN"/>
        </w:rPr>
        <w:t>提案</w:t>
      </w:r>
      <w:r>
        <w:rPr>
          <w:rFonts w:hint="eastAsia" w:ascii="仿宋_GB2312" w:eastAsia="仿宋_GB2312"/>
          <w:lang w:val="en-US" w:eastAsia="zh-CN"/>
        </w:rPr>
        <w:t>，在抓好自身工作的基础上，主动对接</w:t>
      </w:r>
      <w:r>
        <w:rPr>
          <w:rFonts w:hint="eastAsia"/>
          <w:lang w:val="en-US" w:eastAsia="zh-CN"/>
        </w:rPr>
        <w:t>其它</w:t>
      </w:r>
      <w:r>
        <w:rPr>
          <w:rFonts w:hint="eastAsia" w:ascii="仿宋_GB2312" w:eastAsia="仿宋_GB2312"/>
          <w:lang w:val="en-US" w:eastAsia="zh-CN"/>
        </w:rPr>
        <w:t>单位研究解决</w:t>
      </w:r>
      <w:r>
        <w:rPr>
          <w:rFonts w:hint="eastAsia"/>
          <w:lang w:val="en-US" w:eastAsia="zh-CN"/>
        </w:rPr>
        <w:t>方案</w:t>
      </w:r>
      <w:r>
        <w:rPr>
          <w:rFonts w:hint="eastAsia" w:ascii="仿宋_GB2312" w:eastAsia="仿宋_GB2312"/>
          <w:lang w:val="en-US" w:eastAsia="zh-CN"/>
        </w:rPr>
        <w:t>，及时了解和</w:t>
      </w:r>
      <w:r>
        <w:rPr>
          <w:rFonts w:hint="eastAsia"/>
          <w:lang w:val="en-US" w:eastAsia="zh-CN"/>
        </w:rPr>
        <w:t>沟通</w:t>
      </w:r>
      <w:r>
        <w:rPr>
          <w:rFonts w:hint="eastAsia" w:ascii="仿宋_GB2312" w:eastAsia="仿宋_GB2312"/>
          <w:lang w:val="en-US" w:eastAsia="zh-CN"/>
        </w:rPr>
        <w:t>工作进度，协同推进建议提案全面落实。</w:t>
      </w:r>
    </w:p>
    <w:p w14:paraId="1F5737C3">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default"/>
          <w:lang w:val="en-US" w:eastAsia="zh-CN"/>
        </w:rPr>
      </w:pPr>
      <w:r>
        <w:rPr>
          <w:rFonts w:hint="eastAsia" w:ascii="楷体_GB2312" w:hAnsi="楷体_GB2312" w:eastAsia="楷体_GB2312" w:cs="楷体_GB2312"/>
          <w:lang w:val="en-US" w:eastAsia="zh-CN"/>
        </w:rPr>
        <w:t>（二）严格工作要求，确保办理质量。</w:t>
      </w:r>
      <w:r>
        <w:rPr>
          <w:rFonts w:hint="eastAsia" w:ascii="仿宋_GB2312" w:eastAsia="仿宋_GB2312"/>
          <w:lang w:val="en-US" w:eastAsia="zh-CN"/>
        </w:rPr>
        <w:t>始终把自觉接受人大</w:t>
      </w:r>
      <w:r>
        <w:rPr>
          <w:rFonts w:hint="eastAsia"/>
          <w:lang w:val="en-US" w:eastAsia="zh-CN"/>
        </w:rPr>
        <w:t>法律</w:t>
      </w:r>
      <w:r>
        <w:rPr>
          <w:rFonts w:hint="eastAsia" w:ascii="仿宋_GB2312" w:eastAsia="仿宋_GB2312"/>
          <w:lang w:val="en-US" w:eastAsia="zh-CN"/>
        </w:rPr>
        <w:t>监督、</w:t>
      </w:r>
      <w:r>
        <w:rPr>
          <w:rFonts w:hint="eastAsia"/>
          <w:lang w:val="en-US" w:eastAsia="zh-CN"/>
        </w:rPr>
        <w:t>自觉接受政协民主监督、</w:t>
      </w:r>
      <w:r>
        <w:rPr>
          <w:rFonts w:hint="eastAsia" w:ascii="仿宋_GB2312" w:eastAsia="仿宋_GB2312"/>
          <w:lang w:val="en-US" w:eastAsia="zh-CN"/>
        </w:rPr>
        <w:t>认真办理建议提案作为推动仲裁事业高质量发展的重要举措抓紧抓实。</w:t>
      </w:r>
      <w:r>
        <w:rPr>
          <w:rFonts w:hint="eastAsia"/>
          <w:lang w:val="en-US" w:eastAsia="zh-CN"/>
        </w:rPr>
        <w:t>找准人大建议要点、政协提案关键点，精准制定办理计划，逐项</w:t>
      </w:r>
      <w:r>
        <w:rPr>
          <w:rFonts w:hint="eastAsia" w:ascii="仿宋_GB2312" w:eastAsia="仿宋_GB2312"/>
          <w:lang w:val="en-US" w:eastAsia="zh-CN"/>
        </w:rPr>
        <w:t>研究落实措施，办理完毕后均形成书面意见。及时跟踪督办，通过每周编发工作简报、制定工作计划表、定期工作汇报等形式，动态调度建议提案办理进度，确保件件有着落、事事有回音。强化与代表</w:t>
      </w:r>
      <w:r>
        <w:rPr>
          <w:rFonts w:hint="eastAsia"/>
          <w:lang w:val="en-US" w:eastAsia="zh-CN"/>
        </w:rPr>
        <w:t>委员的</w:t>
      </w:r>
      <w:r>
        <w:rPr>
          <w:rFonts w:hint="eastAsia" w:ascii="仿宋_GB2312" w:eastAsia="仿宋_GB2312"/>
          <w:lang w:val="en-US" w:eastAsia="zh-CN"/>
        </w:rPr>
        <w:t>沟通</w:t>
      </w:r>
      <w:r>
        <w:rPr>
          <w:rFonts w:hint="eastAsia"/>
          <w:lang w:val="en-US" w:eastAsia="zh-CN"/>
        </w:rPr>
        <w:t>对接</w:t>
      </w:r>
      <w:r>
        <w:rPr>
          <w:rFonts w:hint="eastAsia" w:ascii="仿宋_GB2312" w:eastAsia="仿宋_GB2312"/>
          <w:lang w:val="en-US" w:eastAsia="zh-CN"/>
        </w:rPr>
        <w:t>，通过邀请参加走访调研、仲裁开放日、面对面座谈等形式，建立起相互信任、相互支持的办理关系，做到事前对接、事中沟通、事后汇报，持续提高代表</w:t>
      </w:r>
      <w:r>
        <w:rPr>
          <w:rFonts w:hint="eastAsia"/>
          <w:lang w:val="en-US" w:eastAsia="zh-CN"/>
        </w:rPr>
        <w:t>委员</w:t>
      </w:r>
      <w:r>
        <w:rPr>
          <w:rFonts w:hint="eastAsia" w:ascii="仿宋_GB2312" w:eastAsia="仿宋_GB2312"/>
          <w:lang w:val="en-US" w:eastAsia="zh-CN"/>
        </w:rPr>
        <w:t>对仲裁工作的满意度。</w:t>
      </w:r>
    </w:p>
    <w:p w14:paraId="0931BD09">
      <w:pPr>
        <w:keepNext w:val="0"/>
        <w:keepLines w:val="0"/>
        <w:pageBreakBefore w:val="0"/>
        <w:widowControl w:val="0"/>
        <w:numPr>
          <w:ilvl w:val="0"/>
          <w:numId w:val="0"/>
        </w:numPr>
        <w:tabs>
          <w:tab w:val="left" w:pos="6080"/>
        </w:tabs>
        <w:kinsoku/>
        <w:wordWrap/>
        <w:overflowPunct/>
        <w:topLinePunct w:val="0"/>
        <w:autoSpaceDE/>
        <w:autoSpaceDN/>
        <w:bidi w:val="0"/>
        <w:adjustRightInd/>
        <w:snapToGrid/>
        <w:spacing w:line="554" w:lineRule="exact"/>
        <w:ind w:firstLine="640" w:firstLineChars="200"/>
        <w:textAlignment w:val="auto"/>
        <w:rPr>
          <w:rFonts w:hint="default" w:ascii="仿宋_GB2312" w:eastAsia="仿宋_GB2312"/>
          <w:lang w:val="en-US" w:eastAsia="zh-CN"/>
        </w:rPr>
      </w:pPr>
      <w:r>
        <w:rPr>
          <w:rFonts w:hint="eastAsia" w:ascii="楷体_GB2312" w:hAnsi="楷体_GB2312" w:eastAsia="楷体_GB2312" w:cs="楷体_GB2312"/>
          <w:lang w:val="en-US" w:eastAsia="zh-CN"/>
        </w:rPr>
        <w:t>（三）做好结合文章，确保工作实效。</w:t>
      </w:r>
      <w:r>
        <w:rPr>
          <w:rFonts w:hint="eastAsia" w:ascii="仿宋_GB2312" w:eastAsia="仿宋_GB2312"/>
          <w:lang w:val="en-US" w:eastAsia="zh-CN"/>
        </w:rPr>
        <w:t>注重将建议提案办理工作与落实习近平总书记对山东</w:t>
      </w:r>
      <w:r>
        <w:rPr>
          <w:rFonts w:hint="eastAsia"/>
          <w:lang w:val="en-US" w:eastAsia="zh-CN"/>
        </w:rPr>
        <w:t>、</w:t>
      </w:r>
      <w:r>
        <w:rPr>
          <w:rFonts w:hint="eastAsia" w:ascii="仿宋_GB2312" w:eastAsia="仿宋_GB2312"/>
          <w:lang w:val="en-US" w:eastAsia="zh-CN"/>
        </w:rPr>
        <w:t>对青岛</w:t>
      </w:r>
      <w:r>
        <w:rPr>
          <w:rFonts w:hint="eastAsia"/>
          <w:lang w:val="en-US" w:eastAsia="zh-CN"/>
        </w:rPr>
        <w:t>、</w:t>
      </w:r>
      <w:r>
        <w:rPr>
          <w:rFonts w:hint="eastAsia" w:ascii="仿宋_GB2312" w:eastAsia="仿宋_GB2312"/>
          <w:lang w:val="en-US" w:eastAsia="zh-CN"/>
        </w:rPr>
        <w:t>对仲裁工作重要批示指示要求和中办、国办《关于完善仲裁制度提高仲裁公信力的意见》（中办发〔2018〕76号）结合起来、与仲裁事业发展结合起来，围绕服务实体经济和招商引资、城市更新和城市建设、优化营商环境等重点工作，拓宽工作思路，创新工作举措，以高质量的建议</w:t>
      </w:r>
      <w:r>
        <w:rPr>
          <w:rFonts w:hint="eastAsia"/>
          <w:lang w:val="en-US" w:eastAsia="zh-CN"/>
        </w:rPr>
        <w:t>提案</w:t>
      </w:r>
      <w:r>
        <w:rPr>
          <w:rFonts w:hint="eastAsia" w:ascii="仿宋_GB2312" w:eastAsia="仿宋_GB2312"/>
          <w:lang w:val="en-US" w:eastAsia="zh-CN"/>
        </w:rPr>
        <w:t>落实，推动青岛仲裁工作提质增效</w:t>
      </w:r>
      <w:r>
        <w:rPr>
          <w:rFonts w:hint="eastAsia"/>
          <w:lang w:val="en-US" w:eastAsia="zh-CN"/>
        </w:rPr>
        <w:t>，为服务经济社会高质量发展贡献仲裁力量。</w:t>
      </w:r>
    </w:p>
    <w:p w14:paraId="58C634B4">
      <w:pPr>
        <w:keepNext w:val="0"/>
        <w:keepLines w:val="0"/>
        <w:pageBreakBefore w:val="0"/>
        <w:widowControl w:val="0"/>
        <w:numPr>
          <w:ilvl w:val="0"/>
          <w:numId w:val="0"/>
        </w:numPr>
        <w:kinsoku/>
        <w:wordWrap/>
        <w:overflowPunct/>
        <w:topLinePunct w:val="0"/>
        <w:autoSpaceDE/>
        <w:autoSpaceDN/>
        <w:bidi w:val="0"/>
        <w:adjustRightInd w:val="0"/>
        <w:snapToGrid/>
        <w:spacing w:line="554" w:lineRule="exact"/>
        <w:ind w:firstLine="640" w:firstLineChars="200"/>
        <w:textAlignment w:val="auto"/>
        <w:rPr>
          <w:rFonts w:hint="eastAsia" w:ascii="黑体" w:hAnsi="黑体" w:eastAsia="黑体" w:cs="Times New Roman"/>
          <w:kern w:val="2"/>
          <w:sz w:val="32"/>
          <w:szCs w:val="32"/>
          <w:lang w:val="en-US" w:eastAsia="zh-CN" w:bidi="ar-SA"/>
        </w:rPr>
      </w:pPr>
      <w:r>
        <w:rPr>
          <w:rFonts w:hint="eastAsia" w:ascii="黑体" w:hAnsi="黑体" w:eastAsia="黑体" w:cs="Times New Roman"/>
          <w:kern w:val="2"/>
          <w:sz w:val="32"/>
          <w:szCs w:val="32"/>
          <w:lang w:val="en-US" w:eastAsia="zh-CN" w:bidi="ar-SA"/>
        </w:rPr>
        <w:t>二、主要成效</w:t>
      </w:r>
    </w:p>
    <w:p w14:paraId="253C9D02">
      <w:pPr>
        <w:keepNext w:val="0"/>
        <w:keepLines w:val="0"/>
        <w:pageBreakBefore w:val="0"/>
        <w:widowControl w:val="0"/>
        <w:numPr>
          <w:ilvl w:val="0"/>
          <w:numId w:val="0"/>
        </w:numPr>
        <w:tabs>
          <w:tab w:val="left" w:pos="6080"/>
        </w:tabs>
        <w:kinsoku/>
        <w:wordWrap/>
        <w:overflowPunct/>
        <w:topLinePunct w:val="0"/>
        <w:autoSpaceDE/>
        <w:autoSpaceDN/>
        <w:bidi w:val="0"/>
        <w:adjustRightInd/>
        <w:snapToGrid/>
        <w:spacing w:line="554" w:lineRule="exact"/>
        <w:ind w:firstLine="640" w:firstLineChars="200"/>
        <w:textAlignment w:val="auto"/>
        <w:rPr>
          <w:rFonts w:hint="eastAsia" w:ascii="仿宋_GB2312" w:eastAsia="仿宋_GB2312"/>
          <w:lang w:val="en-US" w:eastAsia="zh-CN"/>
        </w:rPr>
      </w:pPr>
      <w:r>
        <w:rPr>
          <w:rFonts w:hint="eastAsia" w:ascii="楷体_GB2312" w:hAnsi="楷体_GB2312" w:eastAsia="楷体_GB2312" w:cs="楷体_GB2312"/>
          <w:lang w:val="en-US" w:eastAsia="zh-CN"/>
        </w:rPr>
        <w:t>（一）仲裁服务质效显著提升。</w:t>
      </w:r>
      <w:r>
        <w:rPr>
          <w:rFonts w:hint="eastAsia" w:ascii="仿宋_GB2312" w:eastAsia="仿宋_GB2312"/>
          <w:lang w:val="en-US" w:eastAsia="zh-CN"/>
        </w:rPr>
        <w:t>2024年，结合《关于合力推动青仲进一步提升服务地方经济社会发展能力的建议》（会字第402号），在党建引领、</w:t>
      </w:r>
      <w:r>
        <w:rPr>
          <w:rFonts w:hint="eastAsia"/>
          <w:lang w:val="en-US" w:eastAsia="zh-CN"/>
        </w:rPr>
        <w:t>拓展</w:t>
      </w:r>
      <w:r>
        <w:rPr>
          <w:rFonts w:hint="eastAsia" w:ascii="仿宋_GB2312" w:eastAsia="仿宋_GB2312"/>
          <w:lang w:val="en-US" w:eastAsia="zh-CN"/>
        </w:rPr>
        <w:t>推行、案件办理、多元解纷、专业化建设等方面精准突破、提质增效，</w:t>
      </w:r>
      <w:r>
        <w:rPr>
          <w:rFonts w:hint="eastAsia"/>
          <w:lang w:val="en-US" w:eastAsia="zh-CN"/>
        </w:rPr>
        <w:t>圆满完成全年目标任务，</w:t>
      </w:r>
      <w:r>
        <w:rPr>
          <w:rFonts w:hint="eastAsia" w:ascii="仿宋_GB2312" w:eastAsia="仿宋_GB2312"/>
          <w:lang w:val="en-US" w:eastAsia="zh-CN"/>
        </w:rPr>
        <w:t>各项业务指标均创历史新高。</w:t>
      </w:r>
      <w:r>
        <w:rPr>
          <w:rFonts w:hint="eastAsia"/>
        </w:rPr>
        <w:t>截至11月底，共受理传统案件2119件，同比增长41.27%，受理互联网案件23263件，同比增长3260.31%。蝉联“全国十佳仲裁机构”。</w:t>
      </w:r>
    </w:p>
    <w:p w14:paraId="0F3FEBF0">
      <w:pPr>
        <w:keepNext w:val="0"/>
        <w:keepLines w:val="0"/>
        <w:pageBreakBefore w:val="0"/>
        <w:widowControl w:val="0"/>
        <w:numPr>
          <w:ilvl w:val="0"/>
          <w:numId w:val="0"/>
        </w:numPr>
        <w:tabs>
          <w:tab w:val="left" w:pos="6080"/>
        </w:tabs>
        <w:kinsoku/>
        <w:wordWrap/>
        <w:overflowPunct/>
        <w:topLinePunct w:val="0"/>
        <w:autoSpaceDE/>
        <w:autoSpaceDN/>
        <w:bidi w:val="0"/>
        <w:adjustRightInd/>
        <w:snapToGrid/>
        <w:spacing w:line="554" w:lineRule="exact"/>
        <w:ind w:firstLine="640" w:firstLineChars="200"/>
        <w:textAlignment w:val="auto"/>
        <w:rPr>
          <w:rFonts w:hint="eastAsia"/>
          <w:lang w:val="en-US" w:eastAsia="zh-CN"/>
        </w:rPr>
      </w:pPr>
      <w:r>
        <w:rPr>
          <w:rFonts w:hint="eastAsia" w:ascii="楷体_GB2312" w:hAnsi="楷体_GB2312" w:eastAsia="楷体_GB2312" w:cs="楷体_GB2312"/>
          <w:lang w:val="en-US" w:eastAsia="zh-CN"/>
        </w:rPr>
        <w:t>（二）涉外仲裁服务持续优化。</w:t>
      </w:r>
      <w:r>
        <w:rPr>
          <w:rFonts w:hint="eastAsia"/>
          <w:lang w:val="en-US" w:eastAsia="zh-CN"/>
        </w:rPr>
        <w:t>2024年，结合《关于进一步完善涉外仲裁工作的建议》（会字第210号），积极服务上合示范区和青岛自贸片区两大国家战略，提升涉外仲裁服务能力，为推进高水平对外开放提供法治保障。作为司法部指派的19家仲裁机构之一，首次亮相中国国际服务贸易交易会；作为唯一受邀仲裁机构，亮相中国国际易货贸易博览会。“青岛国际仲裁中心”正式获批挂牌，成为省内首家，</w:t>
      </w:r>
      <w:r>
        <w:rPr>
          <w:rFonts w:hint="eastAsia"/>
        </w:rPr>
        <w:t>受理涉外案件数量居全省第一，</w:t>
      </w:r>
      <w:r>
        <w:rPr>
          <w:rFonts w:hint="eastAsia"/>
          <w:lang w:val="en-US" w:eastAsia="zh-CN"/>
        </w:rPr>
        <w:t>培育国际一流仲裁机构工作稳步推进。</w:t>
      </w:r>
    </w:p>
    <w:p w14:paraId="06B80BFF">
      <w:pPr>
        <w:keepNext w:val="0"/>
        <w:keepLines w:val="0"/>
        <w:pageBreakBefore w:val="0"/>
        <w:widowControl w:val="0"/>
        <w:numPr>
          <w:ilvl w:val="0"/>
          <w:numId w:val="0"/>
        </w:numPr>
        <w:tabs>
          <w:tab w:val="left" w:pos="6080"/>
        </w:tabs>
        <w:kinsoku/>
        <w:wordWrap/>
        <w:overflowPunct/>
        <w:topLinePunct w:val="0"/>
        <w:autoSpaceDE/>
        <w:autoSpaceDN/>
        <w:bidi w:val="0"/>
        <w:adjustRightInd/>
        <w:snapToGrid/>
        <w:spacing w:line="554" w:lineRule="exact"/>
        <w:ind w:firstLine="640" w:firstLineChars="200"/>
        <w:textAlignment w:val="auto"/>
        <w:rPr>
          <w:rFonts w:hint="default" w:ascii="仿宋_GB2312" w:eastAsia="仿宋_GB2312"/>
          <w:lang w:val="en-US" w:eastAsia="zh-CN"/>
        </w:rPr>
      </w:pPr>
      <w:r>
        <w:rPr>
          <w:rFonts w:hint="eastAsia" w:ascii="楷体_GB2312" w:hAnsi="楷体_GB2312" w:eastAsia="楷体_GB2312" w:cs="楷体_GB2312"/>
          <w:lang w:val="en-US" w:eastAsia="zh-CN"/>
        </w:rPr>
        <w:t>（三）仲裁信息化建设实现新突破。</w:t>
      </w:r>
      <w:r>
        <w:rPr>
          <w:rFonts w:hint="eastAsia" w:ascii="仿宋_GB2312" w:eastAsia="仿宋_GB2312"/>
          <w:lang w:val="en-US" w:eastAsia="zh-CN"/>
        </w:rPr>
        <w:t>2024年，结合</w:t>
      </w:r>
      <w:r>
        <w:rPr>
          <w:rFonts w:hint="eastAsia"/>
          <w:lang w:val="en-US" w:eastAsia="zh-CN"/>
        </w:rPr>
        <w:t>《</w:t>
      </w:r>
      <w:r>
        <w:rPr>
          <w:rFonts w:hint="default" w:ascii="仿宋_GB2312" w:eastAsia="仿宋_GB2312"/>
          <w:lang w:val="en-US" w:eastAsia="zh-CN"/>
        </w:rPr>
        <w:t>关于加强仲裁信息化建设推动仲裁惠民助企升级的建议》（会字第207号），以“青岛智慧仲裁平台”项目建设为载体，加快打造应用场景丰富、服务渠道多元、“一网通办”、集约高效的仲裁综合服务平台，促进仲裁服务由线下向线上转变。</w:t>
      </w:r>
      <w:r>
        <w:rPr>
          <w:rFonts w:hint="eastAsia"/>
          <w:lang w:val="en-US" w:eastAsia="zh-CN"/>
        </w:rPr>
        <w:t>该项目</w:t>
      </w:r>
      <w:r>
        <w:rPr>
          <w:rFonts w:hint="default" w:ascii="仿宋_GB2312" w:eastAsia="仿宋_GB2312"/>
          <w:lang w:val="en-US" w:eastAsia="zh-CN"/>
        </w:rPr>
        <w:t>4月22日获批立项后，8月8日项目开标并于8月29日正式开工建设</w:t>
      </w:r>
      <w:r>
        <w:rPr>
          <w:rFonts w:hint="eastAsia"/>
          <w:lang w:val="en-US" w:eastAsia="zh-CN"/>
        </w:rPr>
        <w:t>，目前</w:t>
      </w:r>
      <w:r>
        <w:rPr>
          <w:rFonts w:hint="default" w:ascii="仿宋_GB2312" w:eastAsia="仿宋_GB2312"/>
          <w:lang w:val="en-US" w:eastAsia="zh-CN"/>
        </w:rPr>
        <w:t>已完成216个模块功能设计、15个功能模块开发</w:t>
      </w:r>
      <w:r>
        <w:rPr>
          <w:rFonts w:hint="eastAsia"/>
          <w:lang w:val="en-US" w:eastAsia="zh-CN"/>
        </w:rPr>
        <w:t>。</w:t>
      </w:r>
    </w:p>
    <w:p w14:paraId="06F88512">
      <w:pPr>
        <w:keepNext w:val="0"/>
        <w:keepLines w:val="0"/>
        <w:pageBreakBefore w:val="0"/>
        <w:widowControl w:val="0"/>
        <w:numPr>
          <w:ilvl w:val="0"/>
          <w:numId w:val="0"/>
        </w:numPr>
        <w:tabs>
          <w:tab w:val="left" w:pos="6080"/>
        </w:tabs>
        <w:kinsoku/>
        <w:wordWrap/>
        <w:overflowPunct/>
        <w:topLinePunct w:val="0"/>
        <w:autoSpaceDE/>
        <w:autoSpaceDN/>
        <w:bidi w:val="0"/>
        <w:adjustRightInd/>
        <w:snapToGrid/>
        <w:spacing w:line="554" w:lineRule="exact"/>
        <w:ind w:firstLine="640" w:firstLineChars="200"/>
        <w:textAlignment w:val="auto"/>
        <w:rPr>
          <w:rFonts w:hint="eastAsia" w:ascii="黑体" w:hAnsi="黑体" w:eastAsia="黑体" w:cs="黑体"/>
          <w:lang w:val="en-US" w:eastAsia="zh-CN"/>
        </w:rPr>
      </w:pPr>
      <w:r>
        <w:rPr>
          <w:rFonts w:hint="eastAsia" w:ascii="黑体" w:hAnsi="黑体" w:eastAsia="黑体" w:cs="黑体"/>
          <w:kern w:val="2"/>
          <w:sz w:val="32"/>
          <w:szCs w:val="24"/>
          <w:lang w:val="en-US" w:eastAsia="zh-CN" w:bidi="ar-SA"/>
        </w:rPr>
        <w:t>三、</w:t>
      </w:r>
      <w:r>
        <w:rPr>
          <w:rFonts w:hint="eastAsia" w:ascii="黑体" w:hAnsi="黑体" w:eastAsia="黑体" w:cs="黑体"/>
          <w:lang w:val="en-US" w:eastAsia="zh-CN"/>
        </w:rPr>
        <w:t>下步打算</w:t>
      </w:r>
    </w:p>
    <w:p w14:paraId="085F62BF">
      <w:pPr>
        <w:keepNext w:val="0"/>
        <w:keepLines w:val="0"/>
        <w:pageBreakBefore w:val="0"/>
        <w:widowControl w:val="0"/>
        <w:numPr>
          <w:ilvl w:val="0"/>
          <w:numId w:val="0"/>
        </w:numPr>
        <w:tabs>
          <w:tab w:val="left" w:pos="6080"/>
        </w:tabs>
        <w:kinsoku/>
        <w:wordWrap/>
        <w:overflowPunct/>
        <w:topLinePunct w:val="0"/>
        <w:autoSpaceDE/>
        <w:autoSpaceDN/>
        <w:bidi w:val="0"/>
        <w:adjustRightInd/>
        <w:snapToGrid/>
        <w:spacing w:line="554" w:lineRule="exact"/>
        <w:ind w:firstLine="640" w:firstLineChars="200"/>
        <w:textAlignment w:val="auto"/>
        <w:rPr>
          <w:rFonts w:hint="default"/>
          <w:lang w:val="en-US" w:eastAsia="zh-CN"/>
        </w:rPr>
      </w:pPr>
      <w:r>
        <w:rPr>
          <w:rFonts w:hint="eastAsia"/>
          <w:lang w:val="en-US" w:eastAsia="zh-CN"/>
        </w:rPr>
        <w:t>下一步，青岛仲裁办将聚焦人民群众和市场主体需求，进一步增强组织保障力度、工作督办力度和狠抓落实力度，不断提高代表建议办理质量，虚心接受代表委员和人民群众的批评和监督，积极采纳代表委员提出的意见建议，总结经验、查找不足、真抓实干、巩固提升，推动建议提案办理工作再上新台阶。</w:t>
      </w:r>
    </w:p>
    <w:sectPr>
      <w:footerReference r:id="rId5" w:type="default"/>
      <w:pgSz w:w="11906" w:h="16838"/>
      <w:pgMar w:top="2098" w:right="1474" w:bottom="1984"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CF1DE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A98A75">
                          <w:pPr>
                            <w:pStyle w:val="2"/>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A98A75">
                    <w:pPr>
                      <w:pStyle w:val="2"/>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B546A0"/>
    <w:rsid w:val="0AB546A0"/>
    <w:rsid w:val="0E4534F3"/>
    <w:rsid w:val="1A606D71"/>
    <w:rsid w:val="1B3C284E"/>
    <w:rsid w:val="1DCD0BC2"/>
    <w:rsid w:val="2DA273A4"/>
    <w:rsid w:val="32BF0681"/>
    <w:rsid w:val="39CE564E"/>
    <w:rsid w:val="409C0254"/>
    <w:rsid w:val="42732F50"/>
    <w:rsid w:val="461675F9"/>
    <w:rsid w:val="492356FD"/>
    <w:rsid w:val="4B7377CB"/>
    <w:rsid w:val="55ED7906"/>
    <w:rsid w:val="59F91B3E"/>
    <w:rsid w:val="5B780C22"/>
    <w:rsid w:val="5FB73A8B"/>
    <w:rsid w:val="60A73CB0"/>
    <w:rsid w:val="79F10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ascii="仿宋_GB2312" w:hAnsi="仿宋_GB2312" w:eastAsia="仿宋_GB2312" w:cstheme="minorBidi"/>
      <w:kern w:val="2"/>
      <w:sz w:val="32"/>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1583</Words>
  <Characters>1644</Characters>
  <Lines>0</Lines>
  <Paragraphs>0</Paragraphs>
  <TotalTime>28</TotalTime>
  <ScaleCrop>false</ScaleCrop>
  <LinksUpToDate>false</LinksUpToDate>
  <CharactersWithSpaces>1644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2024-12-26T08:42:00Z</dcterms:created>
  <dc:creator>梦雪</dc:creator>
  <cp:lastModifiedBy>梦雪</cp:lastModifiedBy>
  <cp:lastPrinted>2024-12-27T06:56:49Z</cp:lastPrinted>
  <dcterms:modified xsi:type="dcterms:W3CDTF">2024-12-27T07:08:13Z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80644718F64745E993EB535683875308_13</vt:lpwstr>
  </property>
</Properties>
</file>